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A53A27" w:rsidRDefault="00A81E38" w:rsidP="00DE1915">
      <w:pPr>
        <w:pStyle w:val="Nzev"/>
        <w:rPr>
          <w:rFonts w:asciiTheme="minorHAnsi" w:hAnsiTheme="minorHAnsi"/>
          <w:b w:val="0"/>
          <w:color w:val="000000" w:themeColor="text1"/>
          <w:sz w:val="48"/>
          <w:szCs w:val="48"/>
        </w:rPr>
      </w:pPr>
      <w:r>
        <w:rPr>
          <w:rFonts w:asciiTheme="minorHAnsi" w:hAnsiTheme="minorHAnsi"/>
          <w:b w:val="0"/>
          <w:sz w:val="48"/>
          <w:szCs w:val="48"/>
        </w:rPr>
        <w:t xml:space="preserve">NÁVRH </w:t>
      </w:r>
      <w:r w:rsidR="000808CE" w:rsidRPr="00A53A27">
        <w:rPr>
          <w:rFonts w:asciiTheme="minorHAnsi" w:hAnsiTheme="minorHAnsi"/>
          <w:b w:val="0"/>
          <w:color w:val="000000" w:themeColor="text1"/>
          <w:sz w:val="48"/>
          <w:szCs w:val="48"/>
        </w:rPr>
        <w:t>SMLOUV</w:t>
      </w:r>
      <w:r w:rsidRPr="00A53A27">
        <w:rPr>
          <w:rFonts w:asciiTheme="minorHAnsi" w:hAnsiTheme="minorHAnsi"/>
          <w:b w:val="0"/>
          <w:color w:val="000000" w:themeColor="text1"/>
          <w:sz w:val="48"/>
          <w:szCs w:val="48"/>
        </w:rPr>
        <w:t>Y</w:t>
      </w:r>
      <w:r w:rsidR="000808CE" w:rsidRPr="00A53A27">
        <w:rPr>
          <w:rFonts w:asciiTheme="minorHAnsi" w:hAnsiTheme="minorHAnsi"/>
          <w:b w:val="0"/>
          <w:color w:val="000000" w:themeColor="text1"/>
          <w:sz w:val="48"/>
          <w:szCs w:val="48"/>
        </w:rPr>
        <w:t xml:space="preserve"> O DÍLO</w:t>
      </w:r>
    </w:p>
    <w:p w:rsidR="00882E39" w:rsidRPr="00A53A27" w:rsidRDefault="00C1048B" w:rsidP="00F56CA0">
      <w:pPr>
        <w:widowControl w:val="0"/>
        <w:autoSpaceDE w:val="0"/>
        <w:autoSpaceDN w:val="0"/>
        <w:adjustRightInd w:val="0"/>
        <w:spacing w:after="160"/>
        <w:jc w:val="center"/>
        <w:rPr>
          <w:rFonts w:asciiTheme="minorHAnsi" w:hAnsiTheme="minorHAnsi"/>
          <w:bCs/>
          <w:color w:val="000000" w:themeColor="text1"/>
          <w:sz w:val="36"/>
          <w:szCs w:val="36"/>
        </w:rPr>
      </w:pPr>
      <w:r w:rsidRPr="00A53A27">
        <w:rPr>
          <w:rFonts w:asciiTheme="minorHAnsi" w:hAnsiTheme="minorHAnsi"/>
          <w:bCs/>
          <w:color w:val="000000" w:themeColor="text1"/>
          <w:sz w:val="36"/>
          <w:szCs w:val="36"/>
        </w:rPr>
        <w:t>č.</w:t>
      </w:r>
      <w:r w:rsidR="00882E39" w:rsidRPr="00A53A27">
        <w:rPr>
          <w:rFonts w:asciiTheme="minorHAnsi" w:hAnsiTheme="minorHAnsi"/>
          <w:bCs/>
          <w:color w:val="000000" w:themeColor="text1"/>
          <w:sz w:val="36"/>
          <w:szCs w:val="36"/>
        </w:rPr>
        <w:t xml:space="preserve"> </w:t>
      </w:r>
      <w:r w:rsidR="00E95CD6" w:rsidRPr="00A53A27">
        <w:rPr>
          <w:rFonts w:asciiTheme="minorHAnsi" w:hAnsiTheme="minorHAnsi"/>
          <w:bCs/>
          <w:color w:val="000000" w:themeColor="text1"/>
          <w:sz w:val="36"/>
          <w:szCs w:val="36"/>
        </w:rPr>
        <w:t>ORM</w:t>
      </w:r>
      <w:r w:rsidR="00882E39" w:rsidRPr="00A53A27">
        <w:rPr>
          <w:rFonts w:asciiTheme="minorHAnsi" w:hAnsiTheme="minorHAnsi"/>
          <w:bCs/>
          <w:color w:val="000000" w:themeColor="text1"/>
          <w:sz w:val="36"/>
          <w:szCs w:val="36"/>
        </w:rPr>
        <w:t>/</w:t>
      </w:r>
      <w:r w:rsidR="00A53A27" w:rsidRPr="00A53A27">
        <w:rPr>
          <w:rFonts w:asciiTheme="minorHAnsi" w:hAnsiTheme="minorHAnsi"/>
          <w:bCs/>
          <w:color w:val="000000" w:themeColor="text1"/>
          <w:sz w:val="36"/>
          <w:szCs w:val="36"/>
        </w:rPr>
        <w:t>2825</w:t>
      </w:r>
      <w:r w:rsidR="00882E39" w:rsidRPr="00A53A27">
        <w:rPr>
          <w:rFonts w:asciiTheme="minorHAnsi" w:hAnsiTheme="minorHAnsi"/>
          <w:bCs/>
          <w:color w:val="000000" w:themeColor="text1"/>
          <w:sz w:val="36"/>
          <w:szCs w:val="36"/>
        </w:rPr>
        <w:t>/</w:t>
      </w:r>
      <w:r w:rsidR="00A53A27" w:rsidRPr="00A53A27">
        <w:rPr>
          <w:rFonts w:asciiTheme="minorHAnsi" w:hAnsiTheme="minorHAnsi"/>
          <w:bCs/>
          <w:color w:val="000000" w:themeColor="text1"/>
          <w:sz w:val="36"/>
          <w:szCs w:val="36"/>
        </w:rPr>
        <w:t>1</w:t>
      </w:r>
      <w:r w:rsidR="004005FA" w:rsidRPr="00A53A27">
        <w:rPr>
          <w:rFonts w:asciiTheme="minorHAnsi" w:hAnsiTheme="minorHAnsi"/>
          <w:bCs/>
          <w:color w:val="000000" w:themeColor="text1"/>
          <w:sz w:val="36"/>
          <w:szCs w:val="36"/>
        </w:rPr>
        <w:t>/</w:t>
      </w:r>
      <w:r w:rsidR="00882E39" w:rsidRPr="00A53A27">
        <w:rPr>
          <w:rFonts w:asciiTheme="minorHAnsi" w:hAnsiTheme="minorHAnsi"/>
          <w:bCs/>
          <w:color w:val="000000" w:themeColor="text1"/>
          <w:sz w:val="36"/>
          <w:szCs w:val="36"/>
        </w:rPr>
        <w:t>201</w:t>
      </w:r>
      <w:r w:rsidR="0072397B" w:rsidRPr="00A53A27">
        <w:rPr>
          <w:rFonts w:asciiTheme="minorHAnsi" w:hAnsiTheme="minorHAnsi"/>
          <w:bCs/>
          <w:color w:val="000000" w:themeColor="text1"/>
          <w:sz w:val="36"/>
          <w:szCs w:val="36"/>
        </w:rPr>
        <w:t>7</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A53A27" w:rsidRDefault="00BE2447" w:rsidP="00BE2447">
      <w:pPr>
        <w:widowControl w:val="0"/>
        <w:jc w:val="both"/>
        <w:rPr>
          <w:b/>
          <w:iCs/>
          <w:sz w:val="10"/>
          <w:szCs w:val="10"/>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A53A27" w:rsidRDefault="00BE2447" w:rsidP="00BE2447">
      <w:pPr>
        <w:rPr>
          <w:rFonts w:ascii="Calibri" w:hAnsi="Calibri"/>
          <w:sz w:val="16"/>
          <w:szCs w:val="16"/>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A53A27">
        <w:rPr>
          <w:rFonts w:ascii="Calibri" w:hAnsi="Calibri" w:cs="Arial"/>
        </w:rPr>
        <w:t>Stabilizační byty Dukla čp. 300</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A53A27" w:rsidRDefault="00996801" w:rsidP="00E52341">
      <w:pPr>
        <w:pStyle w:val="Bod2"/>
        <w:ind w:left="1560" w:hanging="993"/>
      </w:pPr>
      <w:r w:rsidRPr="0095431C">
        <w:t>Název</w:t>
      </w:r>
      <w:r w:rsidR="00882E39" w:rsidRPr="0095431C">
        <w:t>:</w:t>
      </w:r>
      <w:r w:rsidR="0095431C" w:rsidRPr="0095431C">
        <w:tab/>
      </w:r>
      <w:r w:rsidR="00A53A27" w:rsidRPr="00A53A27">
        <w:rPr>
          <w:rFonts w:ascii="Calibri" w:hAnsi="Calibri" w:cs="Arial"/>
        </w:rPr>
        <w:t>Stabilizační byty Dukla čp. 300</w:t>
      </w:r>
    </w:p>
    <w:p w:rsidR="005F6119" w:rsidRPr="00A53A27" w:rsidRDefault="00996801" w:rsidP="00E52341">
      <w:pPr>
        <w:pStyle w:val="Bod2"/>
        <w:ind w:left="1560" w:hanging="993"/>
      </w:pPr>
      <w:r w:rsidRPr="00A53A27">
        <w:t>Místo</w:t>
      </w:r>
      <w:r w:rsidR="00882E39" w:rsidRPr="00A53A27">
        <w:t>:</w:t>
      </w:r>
      <w:r w:rsidR="0095431C" w:rsidRPr="00A53A27">
        <w:tab/>
      </w:r>
      <w:r w:rsidR="00056170" w:rsidRPr="00A53A27">
        <w:t>Ústí nad Orlicí</w:t>
      </w:r>
    </w:p>
    <w:p w:rsidR="00882E39" w:rsidRPr="0095431C" w:rsidRDefault="005F6119" w:rsidP="00E52341">
      <w:pPr>
        <w:pStyle w:val="Bod2"/>
        <w:ind w:left="1560" w:hanging="993"/>
      </w:pPr>
      <w:r w:rsidRPr="00A53A27">
        <w:t>Investor:</w:t>
      </w:r>
      <w:r w:rsidR="0095431C" w:rsidRPr="00A53A27">
        <w:tab/>
      </w:r>
      <w:r w:rsidR="00882E39" w:rsidRPr="00A53A27">
        <w:t>Město Ústí nad Orlicí</w:t>
      </w:r>
      <w:r w:rsidR="00882E39" w:rsidRPr="0095431C">
        <w:tab/>
      </w:r>
    </w:p>
    <w:p w:rsidR="00882E39" w:rsidRPr="00A53A27" w:rsidRDefault="00882E39" w:rsidP="00673C1D">
      <w:pPr>
        <w:widowControl w:val="0"/>
        <w:rPr>
          <w:rFonts w:asciiTheme="minorHAnsi" w:hAnsiTheme="minorHAnsi"/>
          <w:iCs/>
          <w:sz w:val="16"/>
          <w:szCs w:val="16"/>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Pr="00A53A27" w:rsidRDefault="00882E39" w:rsidP="000742BE">
      <w:pPr>
        <w:pStyle w:val="Bod1"/>
      </w:pPr>
      <w:r w:rsidRPr="00C1048B">
        <w:t>3.1</w:t>
      </w:r>
      <w:r w:rsidRPr="0095431C">
        <w:tab/>
      </w:r>
      <w:r w:rsidR="00B34247" w:rsidRPr="00A53A27">
        <w:t>Předmětem této smlouvy je provedení akce „</w:t>
      </w:r>
      <w:r w:rsidR="00A53A27" w:rsidRPr="00A53A27">
        <w:rPr>
          <w:rFonts w:ascii="Calibri" w:hAnsi="Calibri" w:cs="Arial"/>
        </w:rPr>
        <w:t>Stabilizační byty Dukla čp. 300</w:t>
      </w:r>
      <w:r w:rsidR="00B34247" w:rsidRPr="00A53A27">
        <w:t xml:space="preserve">“. Jedná se o </w:t>
      </w:r>
      <w:r w:rsidR="00A53A27" w:rsidRPr="00A53A27">
        <w:rPr>
          <w:rFonts w:ascii="Calibri" w:hAnsi="Calibri" w:cs="Arial"/>
        </w:rPr>
        <w:t xml:space="preserve">stavební úpravy budovy čp. 300, které mají za účel úpravu dispozice jednotlivých pater na </w:t>
      </w:r>
      <w:proofErr w:type="spellStart"/>
      <w:r w:rsidR="00A53A27" w:rsidRPr="00A53A27">
        <w:rPr>
          <w:rFonts w:ascii="Calibri" w:hAnsi="Calibri" w:cs="Arial"/>
        </w:rPr>
        <w:t>malobyty</w:t>
      </w:r>
      <w:proofErr w:type="spellEnd"/>
      <w:r w:rsidR="00A53A27" w:rsidRPr="00A53A27">
        <w:rPr>
          <w:rFonts w:ascii="Calibri" w:hAnsi="Calibri" w:cs="Arial"/>
        </w:rPr>
        <w:t xml:space="preserve">, vytvoření sklepních kójí a příslušenství pro byty v suterénu. V 1.NP je navrženo 7 bezbariérových bytů pro vozíčkáře. Součástí stavby je přístavba nového bezbariérového výtahu. Budou vyměněna veškerá dřevěné okna za nová plastová v barvě shodné s okny již vyměněnými, budou vyměněna veškerá dveřní křídla včetně zárubní. </w:t>
      </w:r>
      <w:r w:rsidR="00993011" w:rsidRPr="00A53A27">
        <w:rPr>
          <w:rFonts w:ascii="Calibri" w:hAnsi="Calibri" w:cs="Arial"/>
        </w:rPr>
        <w:t xml:space="preserve">Rozsah prací je specifikován projektovou dokumentací a výkazem výměr vypracovaných </w:t>
      </w:r>
      <w:r w:rsidR="00A53A27" w:rsidRPr="00A53A27">
        <w:rPr>
          <w:rFonts w:ascii="Calibri" w:hAnsi="Calibri" w:cs="Arial"/>
        </w:rPr>
        <w:t>Ing. Miroslavem Stránským, Sokolská 230, 562 03 Ústí nad Orlicí, ČKAIT 0700507.</w:t>
      </w:r>
    </w:p>
    <w:p w:rsidR="00C9359F" w:rsidRPr="0095431C" w:rsidRDefault="00376854" w:rsidP="00C1048B">
      <w:pPr>
        <w:pStyle w:val="Bod1"/>
      </w:pPr>
      <w:r w:rsidRPr="00C1048B">
        <w:lastRenderedPageBreak/>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A53A27" w:rsidRDefault="00DF79AD" w:rsidP="00E52341">
      <w:pPr>
        <w:widowControl w:val="0"/>
        <w:tabs>
          <w:tab w:val="left" w:pos="3969"/>
          <w:tab w:val="left" w:pos="7797"/>
        </w:tabs>
        <w:ind w:left="2552" w:hanging="1985"/>
        <w:jc w:val="both"/>
        <w:rPr>
          <w:rFonts w:asciiTheme="minorHAnsi" w:hAnsiTheme="minorHAnsi"/>
          <w:iCs/>
          <w:color w:val="000000" w:themeColor="text1"/>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sidRPr="00A53A27">
        <w:rPr>
          <w:rFonts w:asciiTheme="minorHAnsi" w:hAnsiTheme="minorHAnsi"/>
          <w:iCs/>
          <w:color w:val="000000" w:themeColor="text1"/>
          <w:sz w:val="22"/>
          <w:szCs w:val="22"/>
        </w:rPr>
        <w:tab/>
      </w:r>
      <w:proofErr w:type="gramStart"/>
      <w:r w:rsidR="00A53A27" w:rsidRPr="00A53A27">
        <w:rPr>
          <w:rFonts w:asciiTheme="minorHAnsi" w:hAnsiTheme="minorHAnsi"/>
          <w:iCs/>
          <w:color w:val="000000" w:themeColor="text1"/>
          <w:sz w:val="22"/>
          <w:szCs w:val="22"/>
        </w:rPr>
        <w:t>1.1.2018</w:t>
      </w:r>
      <w:proofErr w:type="gramEnd"/>
    </w:p>
    <w:p w:rsidR="00996801" w:rsidRPr="00A53A27" w:rsidRDefault="00DF79AD" w:rsidP="00E52341">
      <w:pPr>
        <w:widowControl w:val="0"/>
        <w:tabs>
          <w:tab w:val="left" w:pos="3969"/>
          <w:tab w:val="left" w:pos="7797"/>
        </w:tabs>
        <w:ind w:left="2552" w:hanging="1985"/>
        <w:jc w:val="both"/>
        <w:rPr>
          <w:rFonts w:asciiTheme="minorHAnsi" w:hAnsiTheme="minorHAnsi"/>
          <w:iCs/>
          <w:color w:val="000000" w:themeColor="text1"/>
          <w:sz w:val="22"/>
          <w:szCs w:val="22"/>
        </w:rPr>
      </w:pPr>
      <w:r w:rsidRPr="00A53A27">
        <w:rPr>
          <w:rFonts w:asciiTheme="minorHAnsi" w:hAnsiTheme="minorHAnsi"/>
          <w:iCs/>
          <w:color w:val="000000" w:themeColor="text1"/>
          <w:sz w:val="22"/>
          <w:szCs w:val="22"/>
        </w:rPr>
        <w:t>Ukončení prací</w:t>
      </w:r>
      <w:r w:rsidR="002C75E8" w:rsidRPr="00A53A27">
        <w:rPr>
          <w:rFonts w:asciiTheme="minorHAnsi" w:hAnsiTheme="minorHAnsi"/>
          <w:iCs/>
          <w:color w:val="000000" w:themeColor="text1"/>
          <w:sz w:val="22"/>
          <w:szCs w:val="22"/>
        </w:rPr>
        <w:t xml:space="preserve"> do:</w:t>
      </w:r>
      <w:r w:rsidR="00E52341" w:rsidRPr="00A53A27">
        <w:rPr>
          <w:rFonts w:asciiTheme="minorHAnsi" w:hAnsiTheme="minorHAnsi"/>
          <w:iCs/>
          <w:color w:val="000000" w:themeColor="text1"/>
          <w:sz w:val="22"/>
          <w:szCs w:val="22"/>
        </w:rPr>
        <w:tab/>
      </w:r>
      <w:proofErr w:type="gramStart"/>
      <w:r w:rsidR="00A53A27" w:rsidRPr="00A53A27">
        <w:rPr>
          <w:rFonts w:asciiTheme="minorHAnsi" w:hAnsiTheme="minorHAnsi"/>
          <w:iCs/>
          <w:color w:val="000000" w:themeColor="text1"/>
          <w:sz w:val="22"/>
          <w:szCs w:val="22"/>
        </w:rPr>
        <w:t>30.11.2018</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3B23C7">
        <w:rPr>
          <w:rFonts w:asciiTheme="minorHAnsi" w:hAnsiTheme="minorHAnsi"/>
          <w:b/>
          <w:bCs/>
          <w:sz w:val="22"/>
          <w:szCs w:val="22"/>
        </w:rPr>
        <w:t>bez DPH</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993011" w:rsidRPr="00687922" w:rsidRDefault="00A53A27" w:rsidP="00993011">
      <w:pPr>
        <w:widowControl w:val="0"/>
        <w:tabs>
          <w:tab w:val="right" w:pos="8080"/>
        </w:tabs>
        <w:autoSpaceDE w:val="0"/>
        <w:autoSpaceDN w:val="0"/>
        <w:adjustRightInd w:val="0"/>
        <w:ind w:left="567"/>
        <w:jc w:val="both"/>
        <w:rPr>
          <w:rFonts w:asciiTheme="minorHAnsi" w:hAnsiTheme="minorHAnsi"/>
          <w:iCs/>
          <w:color w:val="000000" w:themeColor="text1"/>
          <w:sz w:val="22"/>
          <w:szCs w:val="22"/>
        </w:rPr>
      </w:pPr>
      <w:r w:rsidRPr="00687922">
        <w:rPr>
          <w:rFonts w:asciiTheme="minorHAnsi" w:hAnsiTheme="minorHAnsi"/>
          <w:iCs/>
          <w:color w:val="000000" w:themeColor="text1"/>
          <w:sz w:val="22"/>
          <w:szCs w:val="22"/>
        </w:rPr>
        <w:t>Stavební práce</w:t>
      </w:r>
      <w:r w:rsidR="00993011" w:rsidRPr="00687922">
        <w:rPr>
          <w:rFonts w:asciiTheme="minorHAnsi" w:hAnsiTheme="minorHAnsi"/>
          <w:iCs/>
          <w:color w:val="000000" w:themeColor="text1"/>
          <w:sz w:val="22"/>
          <w:szCs w:val="22"/>
        </w:rPr>
        <w:tab/>
        <w:t>………………………,- Kč</w:t>
      </w:r>
    </w:p>
    <w:p w:rsidR="00993011" w:rsidRPr="00687922" w:rsidRDefault="00687922" w:rsidP="00993011">
      <w:pPr>
        <w:widowControl w:val="0"/>
        <w:tabs>
          <w:tab w:val="right" w:pos="8080"/>
        </w:tabs>
        <w:autoSpaceDE w:val="0"/>
        <w:autoSpaceDN w:val="0"/>
        <w:adjustRightInd w:val="0"/>
        <w:ind w:left="567"/>
        <w:jc w:val="both"/>
        <w:rPr>
          <w:rFonts w:asciiTheme="minorHAnsi" w:hAnsiTheme="minorHAnsi"/>
          <w:iCs/>
          <w:color w:val="000000" w:themeColor="text1"/>
          <w:sz w:val="22"/>
          <w:szCs w:val="22"/>
        </w:rPr>
      </w:pPr>
      <w:r w:rsidRPr="00687922">
        <w:rPr>
          <w:rFonts w:asciiTheme="minorHAnsi" w:hAnsiTheme="minorHAnsi"/>
          <w:iCs/>
          <w:color w:val="000000" w:themeColor="text1"/>
          <w:sz w:val="22"/>
          <w:szCs w:val="22"/>
        </w:rPr>
        <w:t>Technické zařízení budov</w:t>
      </w:r>
      <w:r w:rsidR="00993011" w:rsidRPr="00687922">
        <w:rPr>
          <w:rFonts w:asciiTheme="minorHAnsi" w:hAnsiTheme="minorHAnsi"/>
          <w:iCs/>
          <w:color w:val="000000" w:themeColor="text1"/>
          <w:sz w:val="22"/>
          <w:szCs w:val="22"/>
        </w:rPr>
        <w:tab/>
        <w:t>………………………,- Kč</w:t>
      </w:r>
    </w:p>
    <w:p w:rsidR="00993011" w:rsidRPr="00687922" w:rsidRDefault="00687922" w:rsidP="00993011">
      <w:pPr>
        <w:widowControl w:val="0"/>
        <w:tabs>
          <w:tab w:val="right" w:pos="8080"/>
        </w:tabs>
        <w:autoSpaceDE w:val="0"/>
        <w:autoSpaceDN w:val="0"/>
        <w:adjustRightInd w:val="0"/>
        <w:ind w:left="567"/>
        <w:jc w:val="both"/>
        <w:rPr>
          <w:rFonts w:asciiTheme="minorHAnsi" w:hAnsiTheme="minorHAnsi"/>
          <w:iCs/>
          <w:color w:val="000000" w:themeColor="text1"/>
          <w:sz w:val="22"/>
          <w:szCs w:val="22"/>
        </w:rPr>
      </w:pPr>
      <w:r w:rsidRPr="00687922">
        <w:rPr>
          <w:rFonts w:asciiTheme="minorHAnsi" w:hAnsiTheme="minorHAnsi"/>
          <w:iCs/>
          <w:color w:val="000000" w:themeColor="text1"/>
          <w:sz w:val="22"/>
          <w:szCs w:val="22"/>
        </w:rPr>
        <w:t>Silnoproudé rozvody</w:t>
      </w:r>
      <w:r w:rsidR="00993011" w:rsidRPr="00687922">
        <w:rPr>
          <w:rFonts w:asciiTheme="minorHAnsi" w:hAnsiTheme="minorHAnsi"/>
          <w:iCs/>
          <w:color w:val="000000" w:themeColor="text1"/>
          <w:sz w:val="22"/>
          <w:szCs w:val="22"/>
        </w:rPr>
        <w:tab/>
        <w:t>………………………,- Kč</w:t>
      </w:r>
    </w:p>
    <w:p w:rsidR="00687922" w:rsidRPr="00687922" w:rsidRDefault="00687922" w:rsidP="00687922">
      <w:pPr>
        <w:widowControl w:val="0"/>
        <w:tabs>
          <w:tab w:val="right" w:pos="8080"/>
        </w:tabs>
        <w:autoSpaceDE w:val="0"/>
        <w:autoSpaceDN w:val="0"/>
        <w:adjustRightInd w:val="0"/>
        <w:ind w:left="567"/>
        <w:jc w:val="both"/>
        <w:rPr>
          <w:rFonts w:asciiTheme="minorHAnsi" w:hAnsiTheme="minorHAnsi"/>
          <w:iCs/>
          <w:color w:val="000000" w:themeColor="text1"/>
          <w:sz w:val="22"/>
          <w:szCs w:val="22"/>
        </w:rPr>
      </w:pPr>
      <w:r w:rsidRPr="00687922">
        <w:rPr>
          <w:rFonts w:asciiTheme="minorHAnsi" w:hAnsiTheme="minorHAnsi"/>
          <w:iCs/>
          <w:color w:val="000000" w:themeColor="text1"/>
          <w:sz w:val="22"/>
          <w:szCs w:val="22"/>
        </w:rPr>
        <w:t>Slaboproudé rozvody</w:t>
      </w:r>
      <w:r w:rsidRPr="00687922">
        <w:rPr>
          <w:rFonts w:asciiTheme="minorHAnsi" w:hAnsiTheme="minorHAnsi"/>
          <w:iCs/>
          <w:color w:val="000000" w:themeColor="text1"/>
          <w:sz w:val="22"/>
          <w:szCs w:val="22"/>
        </w:rPr>
        <w:tab/>
        <w:t>………………………,- Kč</w:t>
      </w:r>
    </w:p>
    <w:p w:rsidR="00993011" w:rsidRPr="00687922" w:rsidRDefault="00687922" w:rsidP="00993011">
      <w:pPr>
        <w:widowControl w:val="0"/>
        <w:pBdr>
          <w:bottom w:val="single" w:sz="8" w:space="1" w:color="auto"/>
        </w:pBdr>
        <w:tabs>
          <w:tab w:val="right" w:pos="8080"/>
        </w:tabs>
        <w:autoSpaceDE w:val="0"/>
        <w:autoSpaceDN w:val="0"/>
        <w:adjustRightInd w:val="0"/>
        <w:ind w:left="567" w:right="991"/>
        <w:jc w:val="both"/>
        <w:rPr>
          <w:rFonts w:asciiTheme="minorHAnsi" w:hAnsiTheme="minorHAnsi"/>
          <w:iCs/>
          <w:color w:val="000000" w:themeColor="text1"/>
          <w:sz w:val="22"/>
          <w:szCs w:val="22"/>
        </w:rPr>
      </w:pPr>
      <w:r w:rsidRPr="00687922">
        <w:rPr>
          <w:rFonts w:asciiTheme="minorHAnsi" w:hAnsiTheme="minorHAnsi"/>
          <w:iCs/>
          <w:color w:val="000000" w:themeColor="text1"/>
          <w:sz w:val="22"/>
          <w:szCs w:val="22"/>
        </w:rPr>
        <w:t>Výtah</w:t>
      </w:r>
      <w:r w:rsidR="00993011" w:rsidRPr="00687922">
        <w:rPr>
          <w:rFonts w:asciiTheme="minorHAnsi" w:hAnsiTheme="minorHAnsi"/>
          <w:iCs/>
          <w:color w:val="000000" w:themeColor="text1"/>
          <w:sz w:val="22"/>
          <w:szCs w:val="22"/>
        </w:rPr>
        <w:tab/>
        <w:t>………………………,- Kč</w:t>
      </w: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 xml:space="preserve">Vzhledem k tomu, že smluvené </w:t>
      </w:r>
      <w:r w:rsidR="00875826" w:rsidRPr="00687922">
        <w:t xml:space="preserve">práce podléhají přenesení daňové povinnosti u stavebních prací podle § 92e zákona č. 235/2004 Sb., o dani z přidané hodnoty, ve znění pozdějších předpisů, </w:t>
      </w:r>
      <w:r w:rsidR="00687922" w:rsidRPr="00687922">
        <w:t>ne</w:t>
      </w:r>
      <w:r w:rsidR="00875826" w:rsidRPr="00687922">
        <w:t>bude k uvedené ceně připočítána DPH v zákonné výši.</w:t>
      </w:r>
    </w:p>
    <w:p w:rsidR="00F12949" w:rsidRDefault="00F12949" w:rsidP="00673C1D">
      <w:pPr>
        <w:widowControl w:val="0"/>
        <w:jc w:val="both"/>
        <w:rPr>
          <w:rFonts w:asciiTheme="minorHAnsi" w:hAnsiTheme="minorHAnsi"/>
          <w:b/>
          <w:iCs/>
          <w:sz w:val="22"/>
          <w:szCs w:val="22"/>
        </w:rPr>
      </w:pPr>
    </w:p>
    <w:p w:rsidR="003B23C7" w:rsidRDefault="003B23C7"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lastRenderedPageBreak/>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Default="00602563" w:rsidP="00C72E43">
      <w:pPr>
        <w:pStyle w:val="Bod1"/>
      </w:pPr>
      <w:r w:rsidRPr="00C1048B">
        <w:lastRenderedPageBreak/>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Default="00152305" w:rsidP="00C72E43">
      <w:pPr>
        <w:pStyle w:val="Bod1"/>
      </w:pPr>
    </w:p>
    <w:p w:rsidR="0030522D" w:rsidRDefault="0030522D" w:rsidP="00C72E43">
      <w:pPr>
        <w:pStyle w:val="Bod1"/>
      </w:pPr>
    </w:p>
    <w:p w:rsidR="003B23C7" w:rsidRDefault="003B23C7" w:rsidP="00C72E43">
      <w:pPr>
        <w:pStyle w:val="Bod1"/>
      </w:pPr>
    </w:p>
    <w:p w:rsidR="003B23C7" w:rsidRDefault="003B23C7" w:rsidP="00C72E43">
      <w:pPr>
        <w:pStyle w:val="Bod1"/>
      </w:pPr>
    </w:p>
    <w:p w:rsidR="003B23C7" w:rsidRDefault="003B23C7" w:rsidP="00C72E43">
      <w:pPr>
        <w:widowControl w:val="0"/>
        <w:jc w:val="center"/>
        <w:rPr>
          <w:rFonts w:asciiTheme="minorHAnsi" w:hAnsiTheme="minorHAnsi"/>
          <w:iCs/>
          <w:sz w:val="28"/>
          <w:szCs w:val="28"/>
        </w:rPr>
      </w:pPr>
    </w:p>
    <w:p w:rsidR="00C72E43" w:rsidRPr="00F12949" w:rsidRDefault="00C72E43" w:rsidP="00C72E43">
      <w:pPr>
        <w:widowControl w:val="0"/>
        <w:jc w:val="center"/>
        <w:rPr>
          <w:rFonts w:asciiTheme="minorHAnsi" w:hAnsiTheme="minorHAnsi"/>
          <w:iCs/>
          <w:sz w:val="28"/>
          <w:szCs w:val="28"/>
        </w:rPr>
      </w:pPr>
      <w:bookmarkStart w:id="0" w:name="_GoBack"/>
      <w:bookmarkEnd w:id="0"/>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C72E43">
        <w:t xml:space="preserve">Objednatel se </w:t>
      </w:r>
      <w:r w:rsidRPr="00687922">
        <w:t xml:space="preserve">zavazuje provádět technický dozor. </w:t>
      </w:r>
      <w:r w:rsidRPr="00687922">
        <w:rPr>
          <w:bCs/>
        </w:rPr>
        <w:t>Technickým dozorem objednatele je pověřen</w:t>
      </w:r>
      <w:r w:rsidR="00687922" w:rsidRPr="00687922">
        <w:rPr>
          <w:bCs/>
        </w:rPr>
        <w:t>a společnost</w:t>
      </w:r>
      <w:r w:rsidRPr="00687922">
        <w:rPr>
          <w:bCs/>
        </w:rPr>
        <w:t xml:space="preserve"> </w:t>
      </w:r>
      <w:r w:rsidR="00687922" w:rsidRPr="00687922">
        <w:rPr>
          <w:bCs/>
        </w:rPr>
        <w:t>…………………………………………………………………………………………………</w:t>
      </w:r>
      <w:r w:rsidRPr="00687922">
        <w:t xml:space="preserve">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6343B1" w:rsidRPr="00C1048B" w:rsidRDefault="006343B1" w:rsidP="00C72E43">
      <w:pPr>
        <w:pStyle w:val="Bod1"/>
      </w:pPr>
      <w:r w:rsidRPr="00C1048B">
        <w:lastRenderedPageBreak/>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lastRenderedPageBreak/>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10.4</w:t>
      </w:r>
      <w:r w:rsidRPr="00C1048B">
        <w:tab/>
        <w:t xml:space="preserve">Tato smlouva byla </w:t>
      </w:r>
      <w:r w:rsidRPr="00687922">
        <w:t xml:space="preserve">schválena Radou města Ústí nad Orlicí dne </w:t>
      </w:r>
      <w:r w:rsidR="00687922" w:rsidRPr="00687922">
        <w:t>…………………</w:t>
      </w:r>
      <w:r w:rsidRPr="00687922">
        <w:t xml:space="preserve"> pod číslem usnesení …………………………………</w:t>
      </w:r>
      <w:proofErr w:type="gramStart"/>
      <w:r w:rsidRPr="00687922">
        <w:t>…..</w:t>
      </w:r>
      <w:proofErr w:type="gramEnd"/>
    </w:p>
    <w:p w:rsidR="0036121F" w:rsidRDefault="0036121F" w:rsidP="0036121F">
      <w:pPr>
        <w:pStyle w:val="Bod1"/>
      </w:pPr>
    </w:p>
    <w:p w:rsidR="0036121F" w:rsidRPr="00687922" w:rsidRDefault="0036121F" w:rsidP="0036121F">
      <w:pPr>
        <w:pStyle w:val="Bod1"/>
      </w:pPr>
      <w:r w:rsidRPr="00C1048B">
        <w:t>10.</w:t>
      </w:r>
      <w:r>
        <w:t>5</w:t>
      </w:r>
      <w:r w:rsidRPr="00C1048B">
        <w:tab/>
      </w:r>
      <w:r w:rsidRPr="00687922">
        <w:t>Na tuto smlouvu se vztahuje povinnost uveřejnění prostřednictvím registru smluv a nabývá účinnosti dnem uveřejnění.</w:t>
      </w:r>
    </w:p>
    <w:p w:rsidR="0036121F" w:rsidRPr="00687922" w:rsidRDefault="0036121F" w:rsidP="00A155EB">
      <w:pPr>
        <w:pStyle w:val="Bod1"/>
      </w:pPr>
    </w:p>
    <w:p w:rsidR="0036121F" w:rsidRPr="00687922" w:rsidRDefault="0036121F" w:rsidP="0036121F">
      <w:pPr>
        <w:autoSpaceDE w:val="0"/>
        <w:autoSpaceDN w:val="0"/>
        <w:adjustRightInd w:val="0"/>
        <w:ind w:left="567" w:hanging="567"/>
        <w:jc w:val="both"/>
        <w:rPr>
          <w:rFonts w:asciiTheme="minorHAnsi" w:hAnsiTheme="minorHAnsi"/>
          <w:iCs/>
          <w:color w:val="000000" w:themeColor="text1"/>
          <w:sz w:val="22"/>
          <w:szCs w:val="22"/>
        </w:rPr>
      </w:pPr>
      <w:r w:rsidRPr="00687922">
        <w:rPr>
          <w:rFonts w:asciiTheme="minorHAnsi" w:hAnsiTheme="minorHAnsi"/>
          <w:iCs/>
          <w:color w:val="000000" w:themeColor="text1"/>
          <w:sz w:val="22"/>
          <w:szCs w:val="22"/>
        </w:rPr>
        <w:t>10.6</w:t>
      </w:r>
      <w:r w:rsidRPr="00687922">
        <w:rPr>
          <w:rFonts w:asciiTheme="minorHAnsi" w:hAnsiTheme="minorHAnsi"/>
          <w:iCs/>
          <w:color w:val="000000" w:themeColor="text1"/>
          <w:sz w:val="22"/>
          <w:szCs w:val="22"/>
        </w:rPr>
        <w:tab/>
        <w:t>Smluvní strany prohlašují, že žádná část smlouvy nenaplňu</w:t>
      </w:r>
      <w:r w:rsidR="00FD3DBD" w:rsidRPr="00687922">
        <w:rPr>
          <w:rFonts w:asciiTheme="minorHAnsi" w:hAnsiTheme="minorHAnsi"/>
          <w:iCs/>
          <w:color w:val="000000" w:themeColor="text1"/>
          <w:sz w:val="22"/>
          <w:szCs w:val="22"/>
        </w:rPr>
        <w:t>je znaky obchodního tajemství (</w:t>
      </w:r>
      <w:r w:rsidRPr="00687922">
        <w:rPr>
          <w:rFonts w:asciiTheme="minorHAnsi" w:hAnsiTheme="minorHAnsi"/>
          <w:iCs/>
          <w:color w:val="000000" w:themeColor="text1"/>
          <w:sz w:val="22"/>
          <w:szCs w:val="22"/>
        </w:rPr>
        <w:t xml:space="preserve">§ 504 z. </w:t>
      </w:r>
      <w:proofErr w:type="gramStart"/>
      <w:r w:rsidRPr="00687922">
        <w:rPr>
          <w:rFonts w:asciiTheme="minorHAnsi" w:hAnsiTheme="minorHAnsi"/>
          <w:iCs/>
          <w:color w:val="000000" w:themeColor="text1"/>
          <w:sz w:val="22"/>
          <w:szCs w:val="22"/>
        </w:rPr>
        <w:t>č.</w:t>
      </w:r>
      <w:proofErr w:type="gramEnd"/>
      <w:r w:rsidRPr="00687922">
        <w:rPr>
          <w:rFonts w:asciiTheme="minorHAnsi" w:hAnsiTheme="minorHAnsi"/>
          <w:iCs/>
          <w:color w:val="000000" w:themeColor="text1"/>
          <w:sz w:val="22"/>
          <w:szCs w:val="22"/>
        </w:rPr>
        <w:t xml:space="preserve"> 89/2012 Sb., občanský zákoník).</w:t>
      </w:r>
    </w:p>
    <w:p w:rsidR="0036121F" w:rsidRPr="00687922" w:rsidRDefault="0036121F" w:rsidP="00A155EB">
      <w:pPr>
        <w:pStyle w:val="Bod1"/>
      </w:pPr>
    </w:p>
    <w:p w:rsidR="00B12923" w:rsidRPr="00687922" w:rsidRDefault="00B12923" w:rsidP="00B12923">
      <w:pPr>
        <w:pStyle w:val="Bod1"/>
      </w:pPr>
      <w:r w:rsidRPr="00687922">
        <w:t>10.7</w:t>
      </w:r>
      <w:r w:rsidRPr="00687922">
        <w:tab/>
        <w:t xml:space="preserve">Zhotovitel souhlasí se zpracováním svých ve smlouvě uvedených osobních údajů, konkrétně s jejich zveřejněním v registru smluv ve smyslu z. </w:t>
      </w:r>
      <w:proofErr w:type="gramStart"/>
      <w:r w:rsidRPr="00687922">
        <w:t>č.</w:t>
      </w:r>
      <w:proofErr w:type="gramEnd"/>
      <w:r w:rsidRPr="00687922">
        <w:t xml:space="preserve">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687922" w:rsidRDefault="0036121F" w:rsidP="00A155EB">
      <w:pPr>
        <w:pStyle w:val="Bod1"/>
      </w:pPr>
    </w:p>
    <w:p w:rsidR="00B12923" w:rsidRPr="00687922" w:rsidRDefault="00B12923" w:rsidP="00B12923">
      <w:pPr>
        <w:pStyle w:val="Bod1"/>
      </w:pPr>
      <w:r w:rsidRPr="00687922">
        <w:t>10.8</w:t>
      </w:r>
      <w:r w:rsidRPr="00687922">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687922" w:rsidRDefault="0036121F" w:rsidP="00A155EB">
      <w:pPr>
        <w:pStyle w:val="Bod1"/>
      </w:pPr>
    </w:p>
    <w:p w:rsidR="0036121F" w:rsidRPr="00687922" w:rsidRDefault="0036121F" w:rsidP="0036121F">
      <w:pPr>
        <w:pStyle w:val="Bod1"/>
      </w:pPr>
      <w:r w:rsidRPr="00687922">
        <w:t>10.</w:t>
      </w:r>
      <w:r w:rsidR="00B12923" w:rsidRPr="00687922">
        <w:t>9</w:t>
      </w:r>
      <w:r w:rsidRPr="00687922">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3B23C7">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3B23C7">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0522D"/>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B23C7"/>
    <w:rsid w:val="003C3EBA"/>
    <w:rsid w:val="003F2706"/>
    <w:rsid w:val="004005FA"/>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87922"/>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C7A10"/>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A27"/>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D3DBD"/>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4817"/>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154</TotalTime>
  <Pages>6</Pages>
  <Words>1920</Words>
  <Characters>11468</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3</cp:revision>
  <cp:lastPrinted>2017-11-06T10:00:00Z</cp:lastPrinted>
  <dcterms:created xsi:type="dcterms:W3CDTF">2017-11-06T10:00:00Z</dcterms:created>
  <dcterms:modified xsi:type="dcterms:W3CDTF">2017-11-06T12:35:00Z</dcterms:modified>
</cp:coreProperties>
</file>